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65" w:rsidRPr="004D1CC0" w:rsidRDefault="00176D7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shd w:val="clear" w:color="auto" w:fill="FFFFFF"/>
        </w:rPr>
      </w:pPr>
      <w:r w:rsidRPr="004D1CC0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淮南联合大学新冠肺炎疫情防控</w:t>
      </w:r>
    </w:p>
    <w:p w:rsidR="00356F65" w:rsidRPr="004D1CC0" w:rsidRDefault="00176D7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D1CC0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提级管理工作方案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近期国内局部疫情起伏，疫情防控形势异常复杂严峻，特别是部分地区出现学校集聚性疫情，为进一步做好当前学校疫情防控工作，根据上级有关会议精神，结合属地疫情防控要求和学校实际，制定本方案。</w:t>
      </w:r>
      <w:bookmarkStart w:id="0" w:name="_GoBack"/>
      <w:bookmarkEnd w:id="0"/>
    </w:p>
    <w:p w:rsidR="00356F65" w:rsidRDefault="00176D7D">
      <w:pPr>
        <w:spacing w:line="300" w:lineRule="auto"/>
        <w:ind w:firstLineChars="200" w:firstLine="640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一、指导思想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深入学习贯彻习近平总书记关于疫情防控重要指示批示精神，切实落实国务院联防联控机制和教育部、省委省政府、省教育厅近日视频会议部署以及市委市政府工作安排，坚持属地原则，从严从紧、从快从细落实各项防控措施，毫不放松、科学精准地做好疫情防控工作。</w:t>
      </w:r>
    </w:p>
    <w:p w:rsidR="00356F65" w:rsidRDefault="00176D7D">
      <w:pPr>
        <w:spacing w:line="300" w:lineRule="auto"/>
        <w:ind w:firstLineChars="200" w:firstLine="640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二、工作目标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认真落实疫情防控提级管理，切实防止疫情输入校园，保障师生员工健康安全和校园和谐稳定。</w:t>
      </w:r>
    </w:p>
    <w:p w:rsidR="00356F65" w:rsidRDefault="00176D7D">
      <w:pPr>
        <w:spacing w:line="300" w:lineRule="auto"/>
        <w:ind w:firstLineChars="200" w:firstLine="640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三、具体措施</w:t>
      </w:r>
    </w:p>
    <w:p w:rsidR="00356F65" w:rsidRDefault="00176D7D">
      <w:pPr>
        <w:spacing w:line="300" w:lineRule="auto"/>
        <w:ind w:firstLineChars="200" w:firstLine="640"/>
        <w:rPr>
          <w:rFonts w:ascii="楷体" w:eastAsia="楷体" w:hAnsi="楷体" w:cs="仿宋_GB2312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kern w:val="0"/>
          <w:sz w:val="32"/>
          <w:szCs w:val="32"/>
          <w:shd w:val="clear" w:color="auto" w:fill="FFFFFF"/>
        </w:rPr>
        <w:t>（一）牢牢压实疫情防控责任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严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格落实学校疫情防控“四方”责任。严格落实辖区党委和政府属地责任、行业部门主管责任、学校主体责任、个人和家庭自我管理责任。学校主要负责同志是学校疫情防控的第一责任人，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班子成员分工负责；各学院、部门党政负责人是本单位疫情防控第一责任人，负责强化对本单位师生员工的教育管理及落实各项疫情防控措施；个人和家庭是自我健康管理的第一责任人。学校各级责任主体要坚决扛起责任，增强紧迫感，克服麻痹松懈思想，绷紧疫情防控这根弦，从严从紧、从快从细落实各项防控措施。（责任方：学校主要负责同志，各学院、部门党政负责人，全体师生员工及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其家庭）</w:t>
      </w:r>
    </w:p>
    <w:p w:rsidR="00356F65" w:rsidRDefault="00176D7D">
      <w:pPr>
        <w:spacing w:line="300" w:lineRule="auto"/>
        <w:ind w:firstLineChars="200" w:firstLine="640"/>
        <w:rPr>
          <w:rFonts w:ascii="楷体" w:eastAsia="楷体" w:hAnsi="楷体" w:cs="仿宋_GB2312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kern w:val="0"/>
          <w:sz w:val="32"/>
          <w:szCs w:val="32"/>
          <w:shd w:val="clear" w:color="auto" w:fill="FFFFFF"/>
        </w:rPr>
        <w:t>（二）严格落实校园常态化疫情防控措施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、严格执行校园封闭管理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严格执行校园封闭管理，闲杂人员不得进入校园。进入校园要落实扫码、戴口罩、测量体温、查验核酸报告等防控规定。走读学生凭“走读证”进出校园，住校学生非紧要不出校。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淮南市外返淮，第一时间报告部门负责人或辅导员，须自觉配合居家隔离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3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天（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3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天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次核酸检测，间隔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24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小时）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+11</w:t>
      </w:r>
      <w:r>
        <w:rPr>
          <w:rFonts w:ascii="仿宋" w:eastAsia="仿宋" w:hAnsi="仿宋" w:cs="仿宋_GB2312"/>
          <w:kern w:val="0"/>
          <w:sz w:val="32"/>
          <w:szCs w:val="32"/>
          <w:shd w:val="clear" w:color="FFFFFF" w:fill="FFFFFF"/>
        </w:rPr>
        <w:t>天不聚集自我健康监测，返淮后及时通过皖事通做好返淮登记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FFFFFF" w:fill="FFFFFF"/>
        </w:rPr>
        <w:t>。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外来人员非紧要不进校，因紧要公务需进校的，须办理《校外人员进校审批表》，按照“谁审批、谁负责”的原则，符合进校条件方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可进校。一旦发现风险人员及时报告学校进行应急处置。（责任方：武装保卫处）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、严格落实各类登记台账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）核酸检测登记名单（附件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日中午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发送指定邮箱。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）公共卫生监督员信息汇总备案表（附件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点前送交纸质版。各学院指定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名公共卫生监督员（由教师担任），各班级指定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名公共卫生监督员；各部门指定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名公共卫生监督员。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）党员先锋预备队、学生志愿者预备队、应急值班预备队及岗位职责名单：分别由组织人事部、学生处、党政办公室于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点前送交纸质版。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）田家庵区市外人员返区登记统计表（附件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）、重点人员排查跟踪登记表（附件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）：每天下午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点前更新送交纸质版、电子版。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）淮南联合大学疫情防控期间重点人员档案（附件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）：每天下午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点前更新送交纸质版。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）淮南联合大学复学（工）查验证明（附件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）：每天下午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点前更新送交纸质版。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）“日报告”“零报告”：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每天上午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点前更新发送到指定群里。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）走读学生和教职工异常情况排查跟踪登记表（附件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）：每天下午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点前更新送交纸质版、电子版。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）安康码、行程码排查异常台账（附件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）：每日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次（上下午各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次）安康码和行程码检查，对异常情况进行登记，每天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点前更新送交纸质版、电子版。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）淮南联合大学学生健康检测登记表（晨午晚检）（附件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）、淮南联合大学因病缺课（勤）病因追查登记表（附件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）：如无异常情况，每周一下午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点前送交纸质版，附件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同时发送电子版，紧急情况电话告知。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）淮南联合大学新冠疫苗接种统计表【教职工版】（附件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）、淮南联合大学新冠疫苗接种统计表【学生版】（附件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），由组织人事部、学生处分别于每天下午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点前更新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送交纸质版、电子版，紧急情况电话告知。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以上相关台账送交或发送至校防指办备案（邮箱：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hqbzc@hnuu.edu.cn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），各单位自行存档一份备查，切实做到底数清、情况明，及时做好疫情防控资料归档。（责任方：各学院、部门）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、严格执行非必要不举办聚集性活动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坚持“非必要不举办““谁组织谁负责“要求，非必要不举办聚集性活动，不邀请发生疫情地区人员参加会议等活动，不安排人员赴近期有阳性感染者所在城市出差。（责任方：各学院、部门）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、加大防控知识普及、政策宣传和舆论引导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营造疫情防控宣传氛围，通过校园广播、社团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活动、宣传栏、班会等多种途径加大师生员工疫情防护知识的普及力度，积极向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师生员工宣传疫情防控政策，不造谣、不信谣、不传谣，一切以官方权威信息为准，做好沟通交流，防范舆情风险。（责任方：宣传部，学生处）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、强化外卖和快递管理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严禁校外外卖入校，在合适区域设置“临时存放点”。非学校许可的快递人员及车辆不得进入校园。学校加强对快递车辆及快递件的消杀。（责任方：武装保卫处，后勤保障处）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、加强重点场所消杀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学校加强对教室、图书馆、实验室、体育馆、机房、报告厅、宿舍楼、快递点等重点场所消杀。各单位落实好自管场所卫生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清洁、通风、消毒等防疫措施，消杀物资可从校防指办领取。（责任方：后勤保障处）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、从快落实全员核酸检测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在属地管理部门指导下，落实全校师生员工每天抽检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20%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，每周完成一轮全员核酸。落实校内服务企业人员每周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次全员核酸检测。（责任方：校防指办，全体师生员工及其家庭）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、加快推进疫苗接种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督促提醒在没有接种禁忌症的情况下，符合条件的师生员工全员接种新冠病毒疫苗，完成全程接种后满半年，尽快接种加强针或参加序贯接种。（责任方：组织人事部、学生处）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、严格落实责任追究制度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加大对疫情防控工作的督查。对不落实疫情防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控责任，不按规定执行疫情防控措施，不如实报告个人行程，工作落实敷衍了事，造成疫情传播扩散，将对相关责任人和单位严肃追责问责。涉嫌违法犯罪的，将依法追究其法律责任。（责任方：校纪委，学生处，全体师生员工及其家庭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、强化个人自我管理与防护（责任方：全体师生员工及其家庭）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限制出省或前往中高风险地区；倡导师生员工不订购外卖和不进行线上购物，做好物品消杀和手卫生；倡导近期不聚餐、不聚会，所有公职人员，一律不得组织和参与规模性聚餐；进校全员佩戴口罩，适量储备一次性医用外科口罩、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75%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酒精湿巾及免洗洗手液；坚持戴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口罩、勤洗手、常通风、少聚集、一米线、用公筷、分餐制；出现发热、咳嗽等任何新冠肺炎疑似症状，立即报告并及时就医，避免乘坐公共交通工具。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、落实紧急事项电话报告制度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如遇紧急事项电话告知校防指办，紧急情况联系人：张老师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15955429881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；学校疫情报告人：丁老师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15305543127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356F65" w:rsidRDefault="00176D7D">
      <w:pPr>
        <w:spacing w:line="300" w:lineRule="auto"/>
        <w:ind w:firstLineChars="200" w:firstLine="640"/>
        <w:rPr>
          <w:rFonts w:ascii="楷体" w:eastAsia="楷体" w:hAnsi="楷体" w:cs="仿宋_GB2312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kern w:val="0"/>
          <w:sz w:val="32"/>
          <w:szCs w:val="32"/>
          <w:shd w:val="clear" w:color="auto" w:fill="FFFFFF"/>
        </w:rPr>
        <w:t>（三）多方联动做好应急预案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、做好线上教学期间的网络技术支持，随时实施线上线下教学转换。（责任方：教务处、网络中心、各学院）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工作进展情况：线上教学预案已经制定，随时可以进行切换。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、做好封闭管理期间师生员工的心理疏导；组建一支约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人的学生志愿者预备队，确保学生志愿者预备队可随时激活，服从调配。（责任方：学生处）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工作进展情况：心理疏导办法已制定，预计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日完成学生志愿者预备队组建。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、组建一支党员先锋岗预备队，确保党员先锋岗预备队可随时激活，服从调配。（责任方：组织人事部）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工作进展情况：预计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日完成党员先锋岗预备队组建。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、组建一支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小时应急值班预备队，确保应急值班预备队可随时激活，服从调配。（责任方：党政办公室）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工作进展情况：预计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日完成应急值班预备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队组建。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、加强网络舆情信息收集，确保舆情第一时间发现，积极指导并督促相关单位及时有效开展舆情引导和处置，回应社会关切，做到防范风险、凝聚共识、汇聚人心。（责任方：宣传部）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工作进展情况：已安排专人密切关注各大主流平台舆情；学校确定一名具有处理突发应急事件，一定现场反应能力，对学校疫情防控工作熟悉了解的新闻发布会发言人。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、更新制定符合当前疫情形势的应急处置预案。（责任方：应急处置组）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工作进展情况：预计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日完成修订。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、按省教育厅有关文件做好防疫物资储备和生活物资储备；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准备好居家观察和隔离观察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房间。（责任方：后勤保障处）</w:t>
      </w:r>
    </w:p>
    <w:p w:rsidR="00356F65" w:rsidRDefault="00176D7D">
      <w:pPr>
        <w:spacing w:line="30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工作进展情况：根据安徽省有关文件精神，按照在校人员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人，储备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天的防疫物资，已完成协议储备，共储备一次性医用口罩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万个，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N95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口罩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个，一次性防护服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套，额温枪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个，体温计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1500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支，洗手液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2800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瓶，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84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消毒液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3000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瓶；免洗洗手液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瓶；一次性手套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200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副；指导食堂储备至少满足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天使用主要生活物资，共储备面粉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4350KG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，米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7150KG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，油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3780L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，肉类、蔬菜、打包盒若干；已准备具备居家观察的床铺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124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张，隔离观察室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间。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 xml:space="preserve"> </w:t>
      </w:r>
    </w:p>
    <w:p w:rsidR="00356F65" w:rsidRDefault="00176D7D">
      <w:pPr>
        <w:adjustRightInd w:val="0"/>
        <w:snapToGrid w:val="0"/>
        <w:spacing w:line="6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鉴于当前的疫情形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势，学校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主动对接属地疾控部门，完善联络机制，对校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医务室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、校内临时隔离点等重点场所及工作流程进行全面排查整改，规范场所设置，加强人员培训。进一步优化流调排查、核酸检测、隔离管控、后勤保障、信息发布等环节应急处置流程。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确保防控措施件件落实落细，实现闭环管理、精准防控。根据疫情防控形势变化，动态调整防控措施，改进工作中的薄弱环节，随时启动疫情防控战时机制，切实筑牢校园防控防线。</w:t>
      </w:r>
    </w:p>
    <w:p w:rsidR="00356F65" w:rsidRDefault="00356F65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：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核酸检测登记名单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公共卫生监督员信息汇总备案表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lastRenderedPageBreak/>
        <w:t>3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田家庵区市外人员返区登记统计表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重点人员排查跟踪登记表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淮南联合大学疫情防控期间重点人员档案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淮南联合大学复学（工）查验证明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走读学生和教职工异常情况排查跟踪登记表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安康码、行程码排查异常台账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淮南联合大学学生健康检测登记表（晨午晚检）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淮南联合大学因病缺课（勤）病因追查登记表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淮南联合大学新冠疫苗接种统计表【教职工版】</w:t>
      </w:r>
    </w:p>
    <w:p w:rsidR="00356F65" w:rsidRDefault="00176D7D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淮南联合大学新冠疫苗接种统计表【学生版】</w:t>
      </w:r>
    </w:p>
    <w:p w:rsidR="00356F65" w:rsidRDefault="00356F65">
      <w:pPr>
        <w:spacing w:line="30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</w:p>
    <w:p w:rsidR="00356F65" w:rsidRDefault="00176D7D">
      <w:pPr>
        <w:spacing w:line="300" w:lineRule="auto"/>
        <w:ind w:firstLineChars="200" w:firstLine="660"/>
        <w:jc w:val="righ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3"/>
          <w:szCs w:val="33"/>
          <w:shd w:val="clear" w:color="auto" w:fill="FFFFFF"/>
        </w:rPr>
        <w:t>淮南联合大学新冠肺炎疫情防控工作领导小组</w:t>
      </w:r>
      <w:r>
        <w:rPr>
          <w:rFonts w:ascii="仿宋" w:eastAsia="仿宋" w:hAnsi="仿宋" w:cs="仿宋" w:hint="eastAsia"/>
          <w:color w:val="000000"/>
          <w:sz w:val="33"/>
          <w:szCs w:val="33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3"/>
          <w:szCs w:val="33"/>
          <w:shd w:val="clear" w:color="auto" w:fill="FFFFFF"/>
        </w:rPr>
        <w:t>代）</w:t>
      </w:r>
    </w:p>
    <w:p w:rsidR="00356F65" w:rsidRDefault="00176D7D">
      <w:pPr>
        <w:spacing w:line="300" w:lineRule="auto"/>
        <w:ind w:firstLineChars="200" w:firstLine="640"/>
        <w:jc w:val="center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  <w:t>日</w:t>
      </w:r>
    </w:p>
    <w:sectPr w:rsidR="00356F65">
      <w:footerReference w:type="default" r:id="rId8"/>
      <w:pgSz w:w="11906" w:h="16838"/>
      <w:pgMar w:top="1984" w:right="1417" w:bottom="164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>
      <w:r>
        <w:separator/>
      </w:r>
    </w:p>
  </w:endnote>
  <w:endnote w:type="continuationSeparator" w:id="0">
    <w:p w:rsidR="00176D7D" w:rsidRDefault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9527936-E47C-4A81-BF34-F902F22B3A50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B7FB34-CF93-4370-92F3-3949B62CC29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D82F57-4887-4F4C-92BE-33CBCC2BF196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C784E39-DB09-49F8-B5BE-A738038F09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2A4D372-B4A0-491A-ABA2-D4F49BA8AEB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82446B1-D0D8-44BC-88D3-FB2D09B3F8A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65" w:rsidRDefault="00176D7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356F65" w:rsidRDefault="00176D7D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D1CC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>
      <w:r>
        <w:separator/>
      </w:r>
    </w:p>
  </w:footnote>
  <w:footnote w:type="continuationSeparator" w:id="0">
    <w:p w:rsidR="00176D7D" w:rsidRDefault="0017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C4C61"/>
    <w:rsid w:val="000654DE"/>
    <w:rsid w:val="000A2848"/>
    <w:rsid w:val="00176D7D"/>
    <w:rsid w:val="001B2114"/>
    <w:rsid w:val="00356F65"/>
    <w:rsid w:val="00377BDD"/>
    <w:rsid w:val="003D533C"/>
    <w:rsid w:val="004218C4"/>
    <w:rsid w:val="004D1CC0"/>
    <w:rsid w:val="00662831"/>
    <w:rsid w:val="006A2CB2"/>
    <w:rsid w:val="00802F5A"/>
    <w:rsid w:val="008D3134"/>
    <w:rsid w:val="009B7ECE"/>
    <w:rsid w:val="00B45EA1"/>
    <w:rsid w:val="00B7056E"/>
    <w:rsid w:val="00C93F36"/>
    <w:rsid w:val="00CC4C61"/>
    <w:rsid w:val="00D12D05"/>
    <w:rsid w:val="00D26FD6"/>
    <w:rsid w:val="00D43B01"/>
    <w:rsid w:val="00DA5C41"/>
    <w:rsid w:val="00F00DF9"/>
    <w:rsid w:val="00F44625"/>
    <w:rsid w:val="00FD26C4"/>
    <w:rsid w:val="00FE3527"/>
    <w:rsid w:val="248509F0"/>
    <w:rsid w:val="27610B78"/>
    <w:rsid w:val="46AA74A5"/>
    <w:rsid w:val="704E6D2F"/>
    <w:rsid w:val="706477EE"/>
    <w:rsid w:val="737144F2"/>
    <w:rsid w:val="771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2824003-50CA-4D6F-B2CB-33DEF773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/>
      <w:kern w:val="0"/>
      <w:sz w:val="31"/>
      <w:szCs w:val="31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styleId="af">
    <w:name w:val="List Paragraph"/>
    <w:basedOn w:val="a"/>
    <w:uiPriority w:val="1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="宋体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40668-B0BA-4878-B77B-68D2680F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606</Words>
  <Characters>3456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2022-03-21T10:52:00Z</cp:lastPrinted>
  <dcterms:created xsi:type="dcterms:W3CDTF">2020-08-21T01:58:00Z</dcterms:created>
  <dcterms:modified xsi:type="dcterms:W3CDTF">2022-03-23T09:24:00Z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F3B5BBAC5900458B90BC969104C2080E</vt:lpwstr>
  </property>
</Properties>
</file>